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9D" w:rsidRPr="008E06D6" w:rsidRDefault="00ED639D" w:rsidP="0075748C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Klauzula informacyjna dotycząca przetwarzania danych osobowych</w:t>
      </w:r>
    </w:p>
    <w:p w:rsidR="00ED639D" w:rsidRPr="008E06D6" w:rsidRDefault="00ED639D" w:rsidP="000D7634">
      <w:pPr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W celu wykonania obowiązku nałożonego art. 13 i 14 </w:t>
      </w:r>
      <w:hyperlink r:id="rId7" w:history="1">
        <w:r w:rsidRPr="008E06D6">
          <w:rPr>
            <w:rFonts w:ascii="Trebuchet MS" w:eastAsia="Times New Roman" w:hAnsi="Trebuchet MS" w:cs="Times New Roman"/>
            <w:kern w:val="0"/>
            <w:lang w:eastAsia="pl-PL"/>
          </w:rPr>
          <w:t>RODO</w:t>
        </w:r>
      </w:hyperlink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, w związku z art. 88 </w:t>
      </w:r>
      <w:hyperlink r:id="rId8" w:history="1">
        <w:r w:rsidRPr="008E06D6">
          <w:rPr>
            <w:rFonts w:ascii="Trebuchet MS" w:eastAsia="Times New Roman" w:hAnsi="Trebuchet MS" w:cs="Times New Roman"/>
            <w:kern w:val="0"/>
            <w:lang w:eastAsia="pl-PL"/>
          </w:rPr>
          <w:t>ustawy wdrożeniowej</w:t>
        </w:r>
      </w:hyperlink>
      <w:r w:rsidRPr="008E06D6">
        <w:rPr>
          <w:rFonts w:ascii="Trebuchet MS" w:eastAsia="Times New Roman" w:hAnsi="Trebuchet MS" w:cs="Times New Roman"/>
          <w:kern w:val="0"/>
          <w:lang w:eastAsia="pl-PL"/>
        </w:rPr>
        <w:t>, informujemy o zasadach przetwarzania Państwa danych</w:t>
      </w:r>
      <w:r w:rsidR="00DC0A7B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osobowych w ramach realizacji programu Fundusze Europejskie dla </w:t>
      </w:r>
      <w:r w:rsidR="00DC0A7B" w:rsidRPr="008E06D6">
        <w:rPr>
          <w:rFonts w:ascii="Trebuchet MS" w:eastAsia="Times New Roman" w:hAnsi="Trebuchet MS" w:cs="Times New Roman"/>
          <w:kern w:val="0"/>
          <w:lang w:eastAsia="pl-PL"/>
        </w:rPr>
        <w:t>Pomorza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2021-2027.</w:t>
      </w:r>
    </w:p>
    <w:p w:rsidR="00ED639D" w:rsidRPr="008E06D6" w:rsidRDefault="00ED639D" w:rsidP="0075748C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I. Informacje ogólne</w:t>
      </w:r>
    </w:p>
    <w:p w:rsidR="00ED639D" w:rsidRPr="008E06D6" w:rsidRDefault="00ED639D" w:rsidP="000D763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Za przetwarzanie danych osobowych odpowiada wielu administratorów, zgodnie z art. 87-88 </w:t>
      </w:r>
      <w:hyperlink r:id="rId9" w:history="1">
        <w:r w:rsidRPr="008E06D6">
          <w:rPr>
            <w:rFonts w:ascii="Trebuchet MS" w:eastAsia="Times New Roman" w:hAnsi="Trebuchet MS" w:cs="Times New Roman"/>
            <w:kern w:val="0"/>
            <w:lang w:eastAsia="pl-PL"/>
          </w:rPr>
          <w:t>ustawy wdrożeniowej</w:t>
        </w:r>
      </w:hyperlink>
      <w:r w:rsidRPr="008E06D6">
        <w:rPr>
          <w:rFonts w:ascii="Trebuchet MS" w:eastAsia="Times New Roman" w:hAnsi="Trebuchet MS" w:cs="Times New Roman"/>
          <w:kern w:val="0"/>
          <w:lang w:eastAsia="pl-PL"/>
        </w:rPr>
        <w:t>.</w:t>
      </w:r>
      <w:r w:rsidR="00DC0A7B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>Każdy administrator samodzielnie odpowiada za ochronę danych osobowych oraz informowanie osób, których dane dotyczą o tym, w jaki sposób przetwarza dane osobowe.</w:t>
      </w:r>
    </w:p>
    <w:p w:rsidR="00ED639D" w:rsidRPr="008E06D6" w:rsidRDefault="00ED639D" w:rsidP="000D763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>Administratorzy będą przetwarzać oraz wzajemnie udostępniać dane osobowe w celu wykonywania zadań zgodnie z właściwością ustaloną w przepisach prawa lub umowach.</w:t>
      </w:r>
    </w:p>
    <w:p w:rsidR="003F3B77" w:rsidRDefault="003F3B77" w:rsidP="0075748C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</w:p>
    <w:p w:rsidR="00ED639D" w:rsidRPr="008E06D6" w:rsidRDefault="00ED639D" w:rsidP="0075748C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II. Administratorzy danych osobowych </w:t>
      </w:r>
    </w:p>
    <w:p w:rsidR="00111B4C" w:rsidRDefault="00111B4C" w:rsidP="00111B4C">
      <w:pPr>
        <w:spacing w:after="0" w:line="240" w:lineRule="auto"/>
        <w:ind w:firstLine="708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>
        <w:rPr>
          <w:rFonts w:ascii="Trebuchet MS" w:eastAsia="Times New Roman" w:hAnsi="Trebuchet MS" w:cs="Times New Roman"/>
          <w:kern w:val="0"/>
          <w:lang w:eastAsia="pl-PL"/>
        </w:rPr>
        <w:t xml:space="preserve">Odrębnym Administratorem </w:t>
      </w:r>
      <w:r w:rsidRPr="0075748C">
        <w:rPr>
          <w:rFonts w:ascii="Trebuchet MS" w:eastAsia="Times New Roman" w:hAnsi="Trebuchet MS" w:cs="Times New Roman"/>
          <w:kern w:val="0"/>
          <w:lang w:eastAsia="pl-PL"/>
        </w:rPr>
        <w:t xml:space="preserve">danych osobowych </w:t>
      </w:r>
      <w:r>
        <w:rPr>
          <w:rFonts w:ascii="Trebuchet MS" w:eastAsia="Times New Roman" w:hAnsi="Trebuchet MS" w:cs="Times New Roman"/>
          <w:kern w:val="0"/>
          <w:lang w:eastAsia="pl-PL"/>
        </w:rPr>
        <w:t xml:space="preserve">Dyrektor </w:t>
      </w:r>
      <w:r w:rsidR="003F3B77">
        <w:rPr>
          <w:rFonts w:ascii="Trebuchet MS" w:eastAsia="Times New Roman" w:hAnsi="Trebuchet MS" w:cs="Times New Roman"/>
          <w:kern w:val="0"/>
          <w:lang w:eastAsia="pl-PL"/>
        </w:rPr>
        <w:t>Publicznej Szkoły Podstawowej w Osieku.</w:t>
      </w:r>
    </w:p>
    <w:p w:rsidR="009C6D3D" w:rsidRPr="008E06D6" w:rsidRDefault="00D6576C" w:rsidP="000D7634">
      <w:pPr>
        <w:spacing w:after="0" w:line="240" w:lineRule="auto"/>
        <w:ind w:firstLine="708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Administrator pozostaje dostępny pod adresem: </w:t>
      </w:r>
      <w:r w:rsidR="003F3B77">
        <w:rPr>
          <w:rFonts w:ascii="Trebuchet MS" w:eastAsia="Times New Roman" w:hAnsi="Trebuchet MS" w:cs="Times New Roman"/>
          <w:kern w:val="0"/>
          <w:lang w:eastAsia="pl-PL"/>
        </w:rPr>
        <w:t>ul. Partyzantów Kociewskich 51, 83-221 Osiek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, e-mail: </w:t>
      </w:r>
      <w:r w:rsidR="003F3B77">
        <w:rPr>
          <w:rFonts w:ascii="Trebuchet MS" w:eastAsia="Times New Roman" w:hAnsi="Trebuchet MS" w:cs="Times New Roman"/>
          <w:kern w:val="0"/>
          <w:lang w:eastAsia="pl-PL"/>
        </w:rPr>
        <w:t>psp@osiek.gda.pl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, </w:t>
      </w:r>
      <w:proofErr w:type="spellStart"/>
      <w:r w:rsidRPr="008E06D6">
        <w:rPr>
          <w:rFonts w:ascii="Trebuchet MS" w:eastAsia="Times New Roman" w:hAnsi="Trebuchet MS" w:cs="Times New Roman"/>
          <w:kern w:val="0"/>
          <w:lang w:eastAsia="pl-PL"/>
        </w:rPr>
        <w:t>tel</w:t>
      </w:r>
      <w:proofErr w:type="spellEnd"/>
      <w:r w:rsidRPr="008E06D6">
        <w:rPr>
          <w:rFonts w:ascii="Trebuchet MS" w:eastAsia="Times New Roman" w:hAnsi="Trebuchet MS" w:cs="Times New Roman"/>
          <w:kern w:val="0"/>
          <w:lang w:eastAsia="pl-PL"/>
        </w:rPr>
        <w:t>:</w:t>
      </w:r>
      <w:r w:rsidR="00590C54" w:rsidRPr="00590C54">
        <w:t xml:space="preserve"> </w:t>
      </w:r>
      <w:r w:rsidR="004A09AD" w:rsidRPr="004A09AD">
        <w:rPr>
          <w:rFonts w:ascii="Trebuchet MS" w:eastAsia="Times New Roman" w:hAnsi="Trebuchet MS" w:cs="Times New Roman"/>
          <w:kern w:val="0"/>
          <w:lang w:eastAsia="pl-PL"/>
        </w:rPr>
        <w:t xml:space="preserve">58 </w:t>
      </w:r>
      <w:r w:rsidR="003F3B77">
        <w:rPr>
          <w:rFonts w:ascii="Trebuchet MS" w:eastAsia="Times New Roman" w:hAnsi="Trebuchet MS" w:cs="Times New Roman"/>
          <w:kern w:val="0"/>
          <w:lang w:eastAsia="pl-PL"/>
        </w:rPr>
        <w:t>5821260</w:t>
      </w:r>
      <w:r w:rsidR="00F94208" w:rsidRPr="008E06D6">
        <w:rPr>
          <w:rFonts w:ascii="Trebuchet MS" w:eastAsia="Calibri" w:hAnsi="Trebuchet MS" w:cs="Arial"/>
        </w:rPr>
        <w:t>.</w:t>
      </w:r>
    </w:p>
    <w:p w:rsidR="00D6576C" w:rsidRPr="008E06D6" w:rsidRDefault="00D6576C" w:rsidP="00D6576C">
      <w:pPr>
        <w:spacing w:after="0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</w:p>
    <w:p w:rsidR="00D6576C" w:rsidRPr="008E06D6" w:rsidRDefault="00D6576C" w:rsidP="00D6576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III. Odbiorcy danych</w:t>
      </w:r>
    </w:p>
    <w:p w:rsidR="00DC0A7B" w:rsidRPr="008E06D6" w:rsidRDefault="009C6D3D" w:rsidP="000D7634">
      <w:pPr>
        <w:spacing w:after="0" w:line="240" w:lineRule="auto"/>
        <w:ind w:firstLine="708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>D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ane osobowe mogą zostać przekazane podmiotom realizującym badania ewaluacyjne na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zlecenie Instytucji Zarządzającej, Instytucji Pośredniczącej lub Beneficjenta. 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>D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ane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osobowe mogą zostać również powierzone specjalistycznym firmom, realizującym na zlecenie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Instytucji Zarządzającej, Instytucji Pośredniczącej oraz Beneficjenta kontrole i audyt w</w:t>
      </w:r>
      <w:r w:rsidR="0075748C" w:rsidRPr="008E06D6">
        <w:rPr>
          <w:rFonts w:ascii="Trebuchet MS" w:eastAsia="Times New Roman" w:hAnsi="Trebuchet MS" w:cs="Times New Roman"/>
          <w:kern w:val="0"/>
          <w:lang w:eastAsia="pl-PL"/>
        </w:rPr>
        <w:t> 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ramach</w:t>
      </w:r>
      <w:r w:rsidR="00333FF8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FEP 2021-2027. </w:t>
      </w:r>
      <w:r w:rsidR="00CE7544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Dane mogą zostać powierzone Partnerowi Projektu, podmiotom, które na zlecenie Beneficjenta i/lub Partnera Projektu uczestniczą w realizacji Projektu.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W przypadku prowadzenia korespondencji dane będą przekazane podmiotom</w:t>
      </w:r>
      <w:r w:rsidR="00333FF8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świadczącym usługi pocztowe, a także stronom i innym uczestnikom postępowań</w:t>
      </w:r>
      <w:r w:rsidR="00333FF8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administracyjnych.</w:t>
      </w:r>
    </w:p>
    <w:p w:rsidR="003F3B77" w:rsidRDefault="003F3B77" w:rsidP="0075748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</w:p>
    <w:p w:rsidR="00DC0A7B" w:rsidRPr="008E06D6" w:rsidRDefault="00D6576C" w:rsidP="0075748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IV</w:t>
      </w:r>
      <w:r w:rsidR="00DC0A7B"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. Cel przetwarzania danych</w:t>
      </w:r>
    </w:p>
    <w:p w:rsidR="00D507BE" w:rsidRPr="008E06D6" w:rsidRDefault="00333FF8" w:rsidP="00D6576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>D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ane osobowe będą przetwarzane wyłącznie w celu realizacji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Projektu p</w:t>
      </w:r>
      <w:r w:rsidR="00CE7544" w:rsidRPr="008E06D6">
        <w:rPr>
          <w:rFonts w:ascii="Trebuchet MS" w:eastAsia="Times New Roman" w:hAnsi="Trebuchet MS" w:cs="Times New Roman"/>
          <w:kern w:val="0"/>
          <w:lang w:eastAsia="pl-PL"/>
        </w:rPr>
        <w:t>t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>.</w:t>
      </w:r>
      <w:r w:rsidR="00590C54" w:rsidRPr="00590C54">
        <w:t xml:space="preserve"> </w:t>
      </w:r>
      <w:r w:rsidR="00590C54" w:rsidRPr="00590C54">
        <w:rPr>
          <w:rFonts w:ascii="Trebuchet MS" w:eastAsia="Times New Roman" w:hAnsi="Trebuchet MS" w:cs="Times New Roman"/>
          <w:kern w:val="0"/>
          <w:lang w:eastAsia="pl-PL"/>
        </w:rPr>
        <w:t>„</w:t>
      </w:r>
      <w:r w:rsidR="003F3B77">
        <w:rPr>
          <w:rFonts w:ascii="Trebuchet MS" w:eastAsia="Times New Roman" w:hAnsi="Trebuchet MS" w:cs="Times New Roman"/>
          <w:kern w:val="0"/>
          <w:lang w:eastAsia="pl-PL"/>
        </w:rPr>
        <w:t>Rozwój kompetencji kluczowych uczniów Publicznej Szkoły Podstawowej w Osieku</w:t>
      </w:r>
      <w:r w:rsidR="00590C54" w:rsidRPr="00590C54">
        <w:rPr>
          <w:rFonts w:ascii="Trebuchet MS" w:eastAsia="Times New Roman" w:hAnsi="Trebuchet MS" w:cs="Times New Roman"/>
          <w:kern w:val="0"/>
          <w:lang w:eastAsia="pl-PL"/>
        </w:rPr>
        <w:t>”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, w szczególności potwierdzenia </w:t>
      </w:r>
      <w:proofErr w:type="spellStart"/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kwalifikowalności</w:t>
      </w:r>
      <w:proofErr w:type="spellEnd"/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wydatków, udzielenia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wsparcia, monitoringu, ewaluacji, rozliczenia projektu, zachowania trwałości projektu, kontroli,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audytu i sprawozdawczości oraz działań informacyjno-promocyjnych w</w:t>
      </w:r>
      <w:r w:rsidR="0075748C" w:rsidRPr="008E06D6">
        <w:rPr>
          <w:rFonts w:ascii="Trebuchet MS" w:eastAsia="Times New Roman" w:hAnsi="Trebuchet MS" w:cs="Times New Roman"/>
          <w:kern w:val="0"/>
          <w:lang w:eastAsia="pl-PL"/>
        </w:rPr>
        <w:t> </w:t>
      </w:r>
      <w:r w:rsidR="00D507BE" w:rsidRPr="008E06D6">
        <w:rPr>
          <w:rFonts w:ascii="Trebuchet MS" w:eastAsia="Times New Roman" w:hAnsi="Trebuchet MS" w:cs="Times New Roman"/>
          <w:kern w:val="0"/>
          <w:lang w:eastAsia="pl-PL"/>
        </w:rPr>
        <w:t>ramach FEP 2021-2027.</w:t>
      </w:r>
    </w:p>
    <w:p w:rsidR="00DC0A7B" w:rsidRPr="008E06D6" w:rsidRDefault="00DC0A7B" w:rsidP="0075748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b/>
          <w:bCs/>
          <w:kern w:val="0"/>
          <w:lang w:eastAsia="pl-PL"/>
        </w:rPr>
        <w:t>V. Podstawa przetwarzania</w:t>
      </w:r>
    </w:p>
    <w:p w:rsidR="00DC0A7B" w:rsidRPr="008E06D6" w:rsidRDefault="003B2CA0" w:rsidP="000D7634">
      <w:pPr>
        <w:pStyle w:val="Akapitzlist"/>
        <w:numPr>
          <w:ilvl w:val="0"/>
          <w:numId w:val="11"/>
        </w:numPr>
        <w:spacing w:after="0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lastRenderedPageBreak/>
        <w:t>D</w:t>
      </w:r>
      <w:r w:rsidR="00DC0A7B" w:rsidRPr="008E06D6">
        <w:rPr>
          <w:rFonts w:ascii="Trebuchet MS" w:eastAsia="Times New Roman" w:hAnsi="Trebuchet MS" w:cs="Times New Roman"/>
          <w:kern w:val="0"/>
          <w:lang w:eastAsia="pl-PL"/>
        </w:rPr>
        <w:t>ane osobowe przetwarza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>ne będą</w:t>
      </w:r>
      <w:r w:rsidR="00DC0A7B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w związku z wypełnieniem obowiązku prawnego (art. 6 ust. 1 lit. c oraz art. 9 ust. 2 lit. b i j RODO) ciążącego na administratorze, który wynika z ustawy wdrożeniowej, rozporządzenia ogólnego i innych powiązanych aktów oraz ustawy o finansach publicznych, a także ustawy o narodowym zasobie archiwalnym i archiwach.</w:t>
      </w:r>
      <w:r w:rsidR="00D6576C"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W zakresie, w jakim uczestnictwo w Projekcie jest dobrowolne, podstawą przetwarzania jest </w:t>
      </w:r>
      <w:r w:rsidR="00F94208" w:rsidRPr="008E06D6">
        <w:rPr>
          <w:rFonts w:ascii="Trebuchet MS" w:eastAsia="Times New Roman" w:hAnsi="Trebuchet MS" w:cs="Times New Roman"/>
          <w:kern w:val="0"/>
          <w:lang w:eastAsia="pl-PL"/>
        </w:rPr>
        <w:t>zgoda osoby, której dane dotyczą, tj. na podstawie art. 6 ust. 1 lit. a) RODO.</w:t>
      </w:r>
    </w:p>
    <w:p w:rsidR="00DC0A7B" w:rsidRPr="008E06D6" w:rsidRDefault="00DC0A7B" w:rsidP="000D7634">
      <w:pPr>
        <w:pStyle w:val="Akapitzlist"/>
        <w:numPr>
          <w:ilvl w:val="0"/>
          <w:numId w:val="11"/>
        </w:numPr>
        <w:spacing w:after="0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>Przetwarzanie danych osobowych niezbędne jest ze względów związanych z ważnym interesem publicznym, gdyż wykon</w:t>
      </w:r>
      <w:r w:rsidR="003B2CA0" w:rsidRPr="008E06D6">
        <w:rPr>
          <w:rFonts w:ascii="Trebuchet MS" w:eastAsia="Times New Roman" w:hAnsi="Trebuchet MS" w:cs="Times New Roman"/>
          <w:kern w:val="0"/>
          <w:lang w:eastAsia="pl-PL"/>
        </w:rPr>
        <w:t>ywane będą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zadania na podstawie prawa Unii Europejskiej lub przepisów krajowych, sprawując władzę publiczną (art. 6 ust. 1 lit. e oraz art. 9 ust. 2 lit. g RODO).</w:t>
      </w:r>
    </w:p>
    <w:p w:rsidR="00DC0A7B" w:rsidRPr="008E06D6" w:rsidRDefault="00DC0A7B" w:rsidP="0075748C">
      <w:pPr>
        <w:pStyle w:val="Akapitzlist"/>
        <w:numPr>
          <w:ilvl w:val="0"/>
          <w:numId w:val="11"/>
        </w:numPr>
        <w:spacing w:after="0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pl-PL"/>
        </w:rPr>
      </w:pP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Podanie danych jest dobrowolne, ale konieczne do realizacji celu określonego w punkcie </w:t>
      </w:r>
      <w:r w:rsidR="00F94208" w:rsidRPr="008E06D6">
        <w:rPr>
          <w:rFonts w:ascii="Trebuchet MS" w:eastAsia="Times New Roman" w:hAnsi="Trebuchet MS" w:cs="Times New Roman"/>
          <w:kern w:val="0"/>
          <w:lang w:eastAsia="pl-PL"/>
        </w:rPr>
        <w:t>IV</w:t>
      </w:r>
      <w:r w:rsidRPr="008E06D6">
        <w:rPr>
          <w:rFonts w:ascii="Trebuchet MS" w:eastAsia="Times New Roman" w:hAnsi="Trebuchet MS" w:cs="Times New Roman"/>
          <w:kern w:val="0"/>
          <w:lang w:eastAsia="pl-PL"/>
        </w:rPr>
        <w:t xml:space="preserve"> klauzuli informacyjnej. Odmowa ich podania jest równoznaczna z brakiem możliwości podjęcia stosownych działań, w tym brak możliwości dofinansowania projektu, udziału w projekcie, realizacji Państwa sprawy lub nawiązania kontaktu.</w:t>
      </w:r>
    </w:p>
    <w:p w:rsidR="0075748C" w:rsidRPr="008E06D6" w:rsidRDefault="0075748C" w:rsidP="0075748C">
      <w:pPr>
        <w:pStyle w:val="Akapitzlist"/>
        <w:spacing w:line="240" w:lineRule="auto"/>
        <w:rPr>
          <w:rFonts w:ascii="Trebuchet MS" w:hAnsi="Trebuchet MS"/>
        </w:rPr>
      </w:pPr>
    </w:p>
    <w:p w:rsidR="00ED639D" w:rsidRPr="008E06D6" w:rsidRDefault="0075748C" w:rsidP="000D7634">
      <w:pPr>
        <w:spacing w:after="0" w:line="240" w:lineRule="auto"/>
        <w:rPr>
          <w:rFonts w:ascii="Trebuchet MS" w:hAnsi="Trebuchet MS"/>
          <w:b/>
          <w:bCs/>
        </w:rPr>
      </w:pPr>
      <w:r w:rsidRPr="008E06D6">
        <w:rPr>
          <w:rFonts w:ascii="Trebuchet MS" w:hAnsi="Trebuchet MS"/>
          <w:b/>
          <w:bCs/>
        </w:rPr>
        <w:t>V</w:t>
      </w:r>
      <w:r w:rsidR="00ED639D" w:rsidRPr="008E06D6">
        <w:rPr>
          <w:rFonts w:ascii="Trebuchet MS" w:hAnsi="Trebuchet MS"/>
          <w:b/>
          <w:bCs/>
        </w:rPr>
        <w:t>I. Okres przetwarzania i przechowywania danych</w:t>
      </w:r>
    </w:p>
    <w:p w:rsidR="000D7634" w:rsidRPr="008E06D6" w:rsidRDefault="000D7634" w:rsidP="000D7634">
      <w:pPr>
        <w:spacing w:after="0" w:line="240" w:lineRule="auto"/>
        <w:rPr>
          <w:rFonts w:ascii="Trebuchet MS" w:hAnsi="Trebuchet MS"/>
          <w:b/>
          <w:bCs/>
        </w:rPr>
      </w:pPr>
    </w:p>
    <w:p w:rsidR="00ED639D" w:rsidRPr="008E06D6" w:rsidRDefault="005066CF" w:rsidP="00F94208">
      <w:p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D</w:t>
      </w:r>
      <w:r w:rsidR="00ED639D" w:rsidRPr="008E06D6">
        <w:rPr>
          <w:rFonts w:ascii="Trebuchet MS" w:hAnsi="Trebuchet MS"/>
        </w:rPr>
        <w:t xml:space="preserve">ane osobowe będą przetwarzane </w:t>
      </w:r>
      <w:r w:rsidR="00F94208" w:rsidRPr="008E06D6">
        <w:rPr>
          <w:rFonts w:ascii="Trebuchet MS" w:hAnsi="Trebuchet MS"/>
        </w:rPr>
        <w:t xml:space="preserve">od momentu wzięcia udziału w projekcie </w:t>
      </w:r>
      <w:r w:rsidR="00ED639D" w:rsidRPr="008E06D6">
        <w:rPr>
          <w:rFonts w:ascii="Trebuchet MS" w:hAnsi="Trebuchet MS"/>
        </w:rPr>
        <w:t xml:space="preserve">do czasu rozliczenia </w:t>
      </w:r>
      <w:r w:rsidRPr="008E06D6">
        <w:rPr>
          <w:rFonts w:ascii="Trebuchet MS" w:hAnsi="Trebuchet MS"/>
        </w:rPr>
        <w:t>programu Fundusze Europejskie dla Pomorza 2021-2027</w:t>
      </w:r>
      <w:r w:rsidR="00ED639D" w:rsidRPr="008E06D6">
        <w:rPr>
          <w:rFonts w:ascii="Trebuchet MS" w:hAnsi="Trebuchet MS"/>
        </w:rPr>
        <w:t xml:space="preserve"> oraz upływu</w:t>
      </w:r>
      <w:r w:rsidRPr="008E06D6">
        <w:rPr>
          <w:rFonts w:ascii="Trebuchet MS" w:hAnsi="Trebuchet MS"/>
        </w:rPr>
        <w:t xml:space="preserve"> </w:t>
      </w:r>
      <w:r w:rsidR="00ED639D" w:rsidRPr="008E06D6">
        <w:rPr>
          <w:rFonts w:ascii="Trebuchet MS" w:hAnsi="Trebuchet MS"/>
        </w:rPr>
        <w:t>okresu archiwizacji dokumentacji związanej z tym programem.</w:t>
      </w:r>
    </w:p>
    <w:p w:rsidR="00ED639D" w:rsidRPr="008E06D6" w:rsidRDefault="00F94208" w:rsidP="00F94208">
      <w:p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Po tym czasie, d</w:t>
      </w:r>
      <w:r w:rsidR="00ED639D" w:rsidRPr="008E06D6">
        <w:rPr>
          <w:rFonts w:ascii="Trebuchet MS" w:hAnsi="Trebuchet MS"/>
        </w:rPr>
        <w:t xml:space="preserve">ane osobowe </w:t>
      </w:r>
      <w:r w:rsidR="005066CF" w:rsidRPr="008E06D6">
        <w:rPr>
          <w:rFonts w:ascii="Trebuchet MS" w:hAnsi="Trebuchet MS"/>
        </w:rPr>
        <w:t xml:space="preserve">będą przechowywane </w:t>
      </w:r>
      <w:r w:rsidR="00ED639D" w:rsidRPr="008E06D6">
        <w:rPr>
          <w:rFonts w:ascii="Trebuchet MS" w:hAnsi="Trebuchet MS"/>
        </w:rPr>
        <w:t>zgodnie z przepisami o</w:t>
      </w:r>
      <w:r w:rsidR="005066CF" w:rsidRPr="008E06D6">
        <w:rPr>
          <w:rFonts w:ascii="Trebuchet MS" w:hAnsi="Trebuchet MS"/>
        </w:rPr>
        <w:t xml:space="preserve"> </w:t>
      </w:r>
      <w:r w:rsidR="00ED639D" w:rsidRPr="008E06D6">
        <w:rPr>
          <w:rFonts w:ascii="Trebuchet MS" w:hAnsi="Trebuchet MS"/>
        </w:rPr>
        <w:t>narodowym zasobie archiwalnym i archiwach</w:t>
      </w:r>
      <w:r w:rsidR="00D33BE7" w:rsidRPr="008E06D6">
        <w:rPr>
          <w:rFonts w:ascii="Trebuchet MS" w:hAnsi="Trebuchet MS"/>
        </w:rPr>
        <w:t xml:space="preserve"> </w:t>
      </w:r>
      <w:r w:rsidR="00ED639D" w:rsidRPr="008E06D6">
        <w:rPr>
          <w:rFonts w:ascii="Trebuchet MS" w:hAnsi="Trebuchet MS"/>
        </w:rPr>
        <w:t xml:space="preserve">przez okres </w:t>
      </w:r>
      <w:r w:rsidR="00D33BE7" w:rsidRPr="008E06D6">
        <w:rPr>
          <w:rFonts w:ascii="Trebuchet MS" w:hAnsi="Trebuchet MS"/>
        </w:rPr>
        <w:t xml:space="preserve">od rozpoczęcia realizacji Projektu do 31 grudnia 2034 roku, </w:t>
      </w:r>
      <w:r w:rsidR="00ED639D" w:rsidRPr="008E06D6">
        <w:rPr>
          <w:rFonts w:ascii="Trebuchet MS" w:hAnsi="Trebuchet MS"/>
        </w:rPr>
        <w:t>z</w:t>
      </w:r>
      <w:r w:rsidR="0075748C" w:rsidRPr="008E06D6">
        <w:rPr>
          <w:rFonts w:ascii="Trebuchet MS" w:hAnsi="Trebuchet MS"/>
        </w:rPr>
        <w:t> </w:t>
      </w:r>
      <w:r w:rsidR="00ED639D" w:rsidRPr="008E06D6">
        <w:rPr>
          <w:rFonts w:ascii="Trebuchet MS" w:hAnsi="Trebuchet MS"/>
        </w:rPr>
        <w:t>zastrzeżeniem przepisów, które mogą przewidywać dłuższy termin</w:t>
      </w:r>
      <w:r w:rsidR="00D33BE7" w:rsidRPr="008E06D6">
        <w:rPr>
          <w:rFonts w:ascii="Trebuchet MS" w:hAnsi="Trebuchet MS"/>
        </w:rPr>
        <w:t xml:space="preserve"> </w:t>
      </w:r>
      <w:r w:rsidR="00ED639D" w:rsidRPr="008E06D6">
        <w:rPr>
          <w:rFonts w:ascii="Trebuchet MS" w:hAnsi="Trebuchet MS"/>
        </w:rPr>
        <w:t xml:space="preserve">przeprowadzania kontroli, a </w:t>
      </w:r>
      <w:r w:rsidR="00B33EDB" w:rsidRPr="008E06D6">
        <w:rPr>
          <w:rFonts w:ascii="Trebuchet MS" w:hAnsi="Trebuchet MS"/>
        </w:rPr>
        <w:t>p</w:t>
      </w:r>
      <w:r w:rsidR="00ED639D" w:rsidRPr="008E06D6">
        <w:rPr>
          <w:rFonts w:ascii="Trebuchet MS" w:hAnsi="Trebuchet MS"/>
        </w:rPr>
        <w:t>onadto przepisów dotyczących pomocy publicznej i</w:t>
      </w:r>
      <w:r w:rsidR="00D33BE7" w:rsidRPr="008E06D6">
        <w:rPr>
          <w:rFonts w:ascii="Trebuchet MS" w:hAnsi="Trebuchet MS"/>
        </w:rPr>
        <w:t xml:space="preserve"> </w:t>
      </w:r>
      <w:r w:rsidR="00ED639D" w:rsidRPr="008E06D6">
        <w:rPr>
          <w:rFonts w:ascii="Trebuchet MS" w:hAnsi="Trebuchet MS"/>
        </w:rPr>
        <w:t xml:space="preserve">pomocy de </w:t>
      </w:r>
      <w:proofErr w:type="spellStart"/>
      <w:r w:rsidR="00ED639D" w:rsidRPr="008E06D6">
        <w:rPr>
          <w:rFonts w:ascii="Trebuchet MS" w:hAnsi="Trebuchet MS"/>
        </w:rPr>
        <w:t>minimis</w:t>
      </w:r>
      <w:proofErr w:type="spellEnd"/>
      <w:r w:rsidR="00ED639D" w:rsidRPr="008E06D6">
        <w:rPr>
          <w:rFonts w:ascii="Trebuchet MS" w:hAnsi="Trebuchet MS"/>
        </w:rPr>
        <w:t xml:space="preserve"> oraz przepisów dotyczących podatku od towarów i usług.</w:t>
      </w:r>
    </w:p>
    <w:p w:rsidR="000D7634" w:rsidRPr="008E06D6" w:rsidRDefault="000D7634" w:rsidP="000D7634">
      <w:pPr>
        <w:spacing w:after="0" w:line="240" w:lineRule="auto"/>
        <w:jc w:val="both"/>
        <w:rPr>
          <w:rFonts w:ascii="Trebuchet MS" w:hAnsi="Trebuchet MS"/>
        </w:rPr>
      </w:pPr>
    </w:p>
    <w:p w:rsidR="00D507BE" w:rsidRPr="008E06D6" w:rsidRDefault="00D507BE" w:rsidP="0075748C">
      <w:pPr>
        <w:spacing w:line="240" w:lineRule="auto"/>
        <w:rPr>
          <w:rFonts w:ascii="Trebuchet MS" w:hAnsi="Trebuchet MS"/>
        </w:rPr>
      </w:pPr>
    </w:p>
    <w:p w:rsidR="00ED639D" w:rsidRPr="008E06D6" w:rsidRDefault="00ED639D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8E06D6">
        <w:rPr>
          <w:rFonts w:ascii="Trebuchet MS" w:hAnsi="Trebuchet MS"/>
          <w:b/>
          <w:bCs/>
        </w:rPr>
        <w:t>VII. Prawa osób, których dane dotyczą</w:t>
      </w:r>
    </w:p>
    <w:p w:rsidR="000D7634" w:rsidRPr="008E06D6" w:rsidRDefault="000D7634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B33EDB" w:rsidRPr="008E06D6" w:rsidRDefault="00ED639D" w:rsidP="000D7634">
      <w:p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Zgodnie z rozporządzenia 2016/679, osobom, których dane dotyczą przysługuje</w:t>
      </w:r>
      <w:r w:rsidR="00B33EDB" w:rsidRPr="008E06D6">
        <w:rPr>
          <w:rFonts w:ascii="Trebuchet MS" w:hAnsi="Trebuchet MS"/>
        </w:rPr>
        <w:t xml:space="preserve"> </w:t>
      </w:r>
      <w:r w:rsidRPr="008E06D6">
        <w:rPr>
          <w:rFonts w:ascii="Trebuchet MS" w:hAnsi="Trebuchet MS"/>
        </w:rPr>
        <w:t>prawo</w:t>
      </w:r>
      <w:r w:rsidR="00B33EDB" w:rsidRPr="008E06D6">
        <w:rPr>
          <w:rFonts w:ascii="Trebuchet MS" w:hAnsi="Trebuchet MS"/>
        </w:rPr>
        <w:t xml:space="preserve">: </w:t>
      </w:r>
    </w:p>
    <w:p w:rsidR="00B33EDB" w:rsidRPr="008E06D6" w:rsidRDefault="00B33EDB" w:rsidP="000D76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do wniesienia skargi do organu nadzorczego, którym jest Prezes Urzędu Ochrony Danych Osobowych z siedzibą przy ul. Stawki 2, 00-193 Warszawa;</w:t>
      </w:r>
    </w:p>
    <w:p w:rsidR="00B33EDB" w:rsidRPr="008E06D6" w:rsidRDefault="00B33EDB" w:rsidP="000D76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do dostępu do swoich danych osobowych oraz prawo ich sprostowania;</w:t>
      </w:r>
    </w:p>
    <w:p w:rsidR="00B33EDB" w:rsidRPr="008E06D6" w:rsidRDefault="00B33EDB" w:rsidP="000D76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do usunięcia danych, ograniczenia ich przetwarzania, prawo do przenoszenia danych, pod warunkiem, że te dane nie są już niezbędne dla celów, do których zostały zebrane oraz, o ile minął wymagalny okres archiwizacji tych danych u Administratora.</w:t>
      </w:r>
    </w:p>
    <w:p w:rsidR="00B33EDB" w:rsidRPr="008E06D6" w:rsidRDefault="00B33EDB" w:rsidP="0075748C">
      <w:pPr>
        <w:spacing w:line="240" w:lineRule="auto"/>
        <w:rPr>
          <w:rFonts w:ascii="Trebuchet MS" w:hAnsi="Trebuchet MS"/>
        </w:rPr>
      </w:pPr>
    </w:p>
    <w:p w:rsidR="00ED639D" w:rsidRPr="008E06D6" w:rsidRDefault="00ED639D" w:rsidP="000D7634">
      <w:pPr>
        <w:spacing w:after="0" w:line="240" w:lineRule="auto"/>
        <w:rPr>
          <w:rFonts w:ascii="Trebuchet MS" w:hAnsi="Trebuchet MS"/>
          <w:b/>
          <w:bCs/>
        </w:rPr>
      </w:pPr>
      <w:r w:rsidRPr="008E06D6">
        <w:rPr>
          <w:rFonts w:ascii="Trebuchet MS" w:hAnsi="Trebuchet MS"/>
          <w:b/>
          <w:bCs/>
        </w:rPr>
        <w:t>IX. Zautomatyzowane podejmowanie decyzji</w:t>
      </w:r>
    </w:p>
    <w:p w:rsidR="000D7634" w:rsidRPr="008E06D6" w:rsidRDefault="000D7634" w:rsidP="000D7634">
      <w:pPr>
        <w:spacing w:after="0" w:line="240" w:lineRule="auto"/>
        <w:rPr>
          <w:rFonts w:ascii="Trebuchet MS" w:hAnsi="Trebuchet MS"/>
          <w:b/>
          <w:bCs/>
        </w:rPr>
      </w:pPr>
    </w:p>
    <w:p w:rsidR="00ED639D" w:rsidRPr="008E06D6" w:rsidRDefault="00ED639D" w:rsidP="000D7634">
      <w:p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Państwa dane osobowe nie są przetwarzane w sposób zautomatyzowany w celu</w:t>
      </w:r>
      <w:r w:rsidR="00B33EDB" w:rsidRPr="008E06D6">
        <w:rPr>
          <w:rFonts w:ascii="Trebuchet MS" w:hAnsi="Trebuchet MS"/>
        </w:rPr>
        <w:t xml:space="preserve"> </w:t>
      </w:r>
      <w:r w:rsidRPr="008E06D6">
        <w:rPr>
          <w:rFonts w:ascii="Trebuchet MS" w:hAnsi="Trebuchet MS"/>
        </w:rPr>
        <w:t>podjęcia jakiejkolwiek decyzji oraz profilowania.</w:t>
      </w:r>
    </w:p>
    <w:p w:rsidR="000D7634" w:rsidRPr="008E06D6" w:rsidRDefault="000D7634" w:rsidP="000D7634">
      <w:pPr>
        <w:spacing w:after="0" w:line="240" w:lineRule="auto"/>
        <w:jc w:val="both"/>
        <w:rPr>
          <w:rFonts w:ascii="Trebuchet MS" w:hAnsi="Trebuchet MS"/>
        </w:rPr>
      </w:pPr>
    </w:p>
    <w:p w:rsidR="003F3B77" w:rsidRDefault="003F3B77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3F3B77" w:rsidRDefault="003F3B77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3F3B77" w:rsidRDefault="003F3B77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3F3B77" w:rsidRDefault="003F3B77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ED639D" w:rsidRPr="008E06D6" w:rsidRDefault="00ED639D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8E06D6">
        <w:rPr>
          <w:rFonts w:ascii="Trebuchet MS" w:hAnsi="Trebuchet MS"/>
          <w:b/>
          <w:bCs/>
        </w:rPr>
        <w:t>X. Przekazywanie danych do państwa trzeciego</w:t>
      </w:r>
    </w:p>
    <w:p w:rsidR="000D7634" w:rsidRPr="008E06D6" w:rsidRDefault="000D7634" w:rsidP="000D7634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B33EDB" w:rsidRPr="008E06D6" w:rsidRDefault="00ED639D" w:rsidP="00F94208">
      <w:pPr>
        <w:spacing w:after="0" w:line="240" w:lineRule="auto"/>
        <w:jc w:val="both"/>
        <w:rPr>
          <w:rFonts w:ascii="Trebuchet MS" w:hAnsi="Trebuchet MS"/>
        </w:rPr>
      </w:pPr>
      <w:r w:rsidRPr="008E06D6">
        <w:rPr>
          <w:rFonts w:ascii="Trebuchet MS" w:hAnsi="Trebuchet MS"/>
        </w:rPr>
        <w:t>Państwa dane osobowe nie będą przekazywane do państwa trzeciego, poza</w:t>
      </w:r>
      <w:r w:rsidR="00B33EDB" w:rsidRPr="008E06D6">
        <w:rPr>
          <w:rFonts w:ascii="Trebuchet MS" w:hAnsi="Trebuchet MS"/>
        </w:rPr>
        <w:t xml:space="preserve"> </w:t>
      </w:r>
      <w:r w:rsidRPr="008E06D6">
        <w:rPr>
          <w:rFonts w:ascii="Trebuchet MS" w:hAnsi="Trebuchet MS"/>
        </w:rPr>
        <w:t>Europejski Obszar Gospodarczy lub do organizacji międzynarodowej innej niż Unia</w:t>
      </w:r>
      <w:r w:rsidR="00B33EDB" w:rsidRPr="008E06D6">
        <w:rPr>
          <w:rFonts w:ascii="Trebuchet MS" w:hAnsi="Trebuchet MS"/>
        </w:rPr>
        <w:t xml:space="preserve"> </w:t>
      </w:r>
      <w:r w:rsidRPr="008E06D6">
        <w:rPr>
          <w:rFonts w:ascii="Trebuchet MS" w:hAnsi="Trebuchet MS"/>
        </w:rPr>
        <w:t>Europejska.</w:t>
      </w:r>
    </w:p>
    <w:p w:rsidR="00B33EDB" w:rsidRPr="008E06D6" w:rsidRDefault="00B33EDB" w:rsidP="0075748C">
      <w:pPr>
        <w:spacing w:line="240" w:lineRule="auto"/>
        <w:rPr>
          <w:rFonts w:ascii="Trebuchet MS" w:hAnsi="Trebuchet MS"/>
        </w:rPr>
      </w:pPr>
    </w:p>
    <w:p w:rsidR="00B33EDB" w:rsidRPr="008E06D6" w:rsidRDefault="00B33EDB" w:rsidP="0075748C">
      <w:pPr>
        <w:spacing w:line="240" w:lineRule="auto"/>
        <w:rPr>
          <w:rFonts w:ascii="Trebuchet MS" w:hAnsi="Trebuchet MS"/>
        </w:rPr>
      </w:pPr>
    </w:p>
    <w:p w:rsidR="00B33EDB" w:rsidRPr="008E06D6" w:rsidRDefault="00B33EDB" w:rsidP="0075748C">
      <w:pPr>
        <w:spacing w:line="240" w:lineRule="auto"/>
        <w:rPr>
          <w:rFonts w:ascii="Trebuchet MS" w:hAnsi="Trebuchet MS"/>
        </w:rPr>
      </w:pPr>
    </w:p>
    <w:sectPr w:rsidR="00B33EDB" w:rsidRPr="008E06D6" w:rsidSect="00FE62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20" w:rsidRDefault="00701C20" w:rsidP="003B2CA0">
      <w:pPr>
        <w:spacing w:after="0" w:line="240" w:lineRule="auto"/>
      </w:pPr>
      <w:r>
        <w:separator/>
      </w:r>
    </w:p>
  </w:endnote>
  <w:endnote w:type="continuationSeparator" w:id="0">
    <w:p w:rsidR="00701C20" w:rsidRDefault="00701C20" w:rsidP="003B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0D" w:rsidRPr="004D2BEC" w:rsidRDefault="004D2BEC" w:rsidP="004D2BEC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20" w:rsidRDefault="00701C20" w:rsidP="003B2CA0">
      <w:pPr>
        <w:spacing w:after="0" w:line="240" w:lineRule="auto"/>
      </w:pPr>
      <w:r>
        <w:separator/>
      </w:r>
    </w:p>
  </w:footnote>
  <w:footnote w:type="continuationSeparator" w:id="0">
    <w:p w:rsidR="00701C20" w:rsidRDefault="00701C20" w:rsidP="003B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6D" w:rsidRDefault="00491E6D">
    <w:pPr>
      <w:pStyle w:val="Nagwek"/>
    </w:pPr>
    <w:r>
      <w:rPr>
        <w:noProof/>
        <w:lang w:eastAsia="pl-PL"/>
      </w:rPr>
      <w:drawing>
        <wp:inline distT="0" distB="0" distL="0" distR="0">
          <wp:extent cx="5811520" cy="673929"/>
          <wp:effectExtent l="0" t="0" r="0" b="0"/>
          <wp:docPr id="12369686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051" cy="683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1E6D" w:rsidRPr="008C090D" w:rsidRDefault="008C090D">
    <w:pPr>
      <w:pStyle w:val="Nagwek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34"/>
    <w:multiLevelType w:val="hybridMultilevel"/>
    <w:tmpl w:val="394A4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5E7"/>
    <w:multiLevelType w:val="hybridMultilevel"/>
    <w:tmpl w:val="18CA6EF0"/>
    <w:lvl w:ilvl="0" w:tplc="5FB286B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4A75"/>
    <w:multiLevelType w:val="hybridMultilevel"/>
    <w:tmpl w:val="EB2A72FA"/>
    <w:lvl w:ilvl="0" w:tplc="68C85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4CDA"/>
    <w:multiLevelType w:val="hybridMultilevel"/>
    <w:tmpl w:val="195ADCFA"/>
    <w:lvl w:ilvl="0" w:tplc="68C85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7386"/>
    <w:multiLevelType w:val="hybridMultilevel"/>
    <w:tmpl w:val="73481C44"/>
    <w:lvl w:ilvl="0" w:tplc="68C85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6431"/>
    <w:multiLevelType w:val="hybridMultilevel"/>
    <w:tmpl w:val="4BC2CE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0773B"/>
    <w:multiLevelType w:val="hybridMultilevel"/>
    <w:tmpl w:val="787C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D02"/>
    <w:multiLevelType w:val="multilevel"/>
    <w:tmpl w:val="281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8305F"/>
    <w:multiLevelType w:val="hybridMultilevel"/>
    <w:tmpl w:val="E23233B4"/>
    <w:lvl w:ilvl="0" w:tplc="68C85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76C7"/>
    <w:multiLevelType w:val="hybridMultilevel"/>
    <w:tmpl w:val="3FF02734"/>
    <w:lvl w:ilvl="0" w:tplc="68C85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14A2"/>
    <w:multiLevelType w:val="multilevel"/>
    <w:tmpl w:val="796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639D"/>
    <w:rsid w:val="00000ADB"/>
    <w:rsid w:val="00035C5F"/>
    <w:rsid w:val="00095260"/>
    <w:rsid w:val="000D7634"/>
    <w:rsid w:val="00104B3A"/>
    <w:rsid w:val="00111B4C"/>
    <w:rsid w:val="00126874"/>
    <w:rsid w:val="00142081"/>
    <w:rsid w:val="00176215"/>
    <w:rsid w:val="0019200B"/>
    <w:rsid w:val="001B3036"/>
    <w:rsid w:val="002572DB"/>
    <w:rsid w:val="0026559F"/>
    <w:rsid w:val="002A25B1"/>
    <w:rsid w:val="002A7738"/>
    <w:rsid w:val="002D4640"/>
    <w:rsid w:val="002F0F9B"/>
    <w:rsid w:val="00300D42"/>
    <w:rsid w:val="00320097"/>
    <w:rsid w:val="00333FF8"/>
    <w:rsid w:val="00386E99"/>
    <w:rsid w:val="003B2CA0"/>
    <w:rsid w:val="003E4207"/>
    <w:rsid w:val="003E6283"/>
    <w:rsid w:val="003F3B77"/>
    <w:rsid w:val="00402FE5"/>
    <w:rsid w:val="0042755F"/>
    <w:rsid w:val="00433642"/>
    <w:rsid w:val="00483639"/>
    <w:rsid w:val="00491E6D"/>
    <w:rsid w:val="00497A00"/>
    <w:rsid w:val="004A09AD"/>
    <w:rsid w:val="004B3DAD"/>
    <w:rsid w:val="004D2BEC"/>
    <w:rsid w:val="005042B1"/>
    <w:rsid w:val="005066CF"/>
    <w:rsid w:val="00590C54"/>
    <w:rsid w:val="005C1C16"/>
    <w:rsid w:val="00701C20"/>
    <w:rsid w:val="00720326"/>
    <w:rsid w:val="0074537F"/>
    <w:rsid w:val="0075748C"/>
    <w:rsid w:val="0076032D"/>
    <w:rsid w:val="00764285"/>
    <w:rsid w:val="007834C1"/>
    <w:rsid w:val="00787A28"/>
    <w:rsid w:val="00800E5D"/>
    <w:rsid w:val="008A39CA"/>
    <w:rsid w:val="008B7D13"/>
    <w:rsid w:val="008B7E52"/>
    <w:rsid w:val="008C090D"/>
    <w:rsid w:val="008E06D6"/>
    <w:rsid w:val="00903604"/>
    <w:rsid w:val="00946BA5"/>
    <w:rsid w:val="00947309"/>
    <w:rsid w:val="009C6D3D"/>
    <w:rsid w:val="009D150F"/>
    <w:rsid w:val="00A1738D"/>
    <w:rsid w:val="00A57268"/>
    <w:rsid w:val="00A76D05"/>
    <w:rsid w:val="00A85A58"/>
    <w:rsid w:val="00AC6020"/>
    <w:rsid w:val="00B121D8"/>
    <w:rsid w:val="00B33EDB"/>
    <w:rsid w:val="00B43A55"/>
    <w:rsid w:val="00B75015"/>
    <w:rsid w:val="00B85F75"/>
    <w:rsid w:val="00BE5242"/>
    <w:rsid w:val="00C0196C"/>
    <w:rsid w:val="00C120EE"/>
    <w:rsid w:val="00C328E8"/>
    <w:rsid w:val="00CE7544"/>
    <w:rsid w:val="00D1251E"/>
    <w:rsid w:val="00D33BE7"/>
    <w:rsid w:val="00D507BE"/>
    <w:rsid w:val="00D6576C"/>
    <w:rsid w:val="00D84D5D"/>
    <w:rsid w:val="00DC0A7B"/>
    <w:rsid w:val="00DD2167"/>
    <w:rsid w:val="00DF508F"/>
    <w:rsid w:val="00E042BE"/>
    <w:rsid w:val="00EA00D5"/>
    <w:rsid w:val="00ED639D"/>
    <w:rsid w:val="00EF0430"/>
    <w:rsid w:val="00F035EA"/>
    <w:rsid w:val="00F40296"/>
    <w:rsid w:val="00F406BA"/>
    <w:rsid w:val="00F44B24"/>
    <w:rsid w:val="00F7029A"/>
    <w:rsid w:val="00F83794"/>
    <w:rsid w:val="00F94208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6C"/>
  </w:style>
  <w:style w:type="paragraph" w:styleId="Nagwek1">
    <w:name w:val="heading 1"/>
    <w:basedOn w:val="Normalny"/>
    <w:next w:val="Normalny"/>
    <w:link w:val="Nagwek1Znak"/>
    <w:uiPriority w:val="9"/>
    <w:qFormat/>
    <w:rsid w:val="00ED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3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3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3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3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39D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C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C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C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3ED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E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6D"/>
  </w:style>
  <w:style w:type="paragraph" w:styleId="Stopka">
    <w:name w:val="footer"/>
    <w:basedOn w:val="Normalny"/>
    <w:link w:val="StopkaZnak"/>
    <w:uiPriority w:val="99"/>
    <w:unhideWhenUsed/>
    <w:rsid w:val="0049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E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1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1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1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0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CELEX%3A32016R06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200010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Łyczko-Schmidt</dc:creator>
  <cp:lastModifiedBy>druk3D</cp:lastModifiedBy>
  <cp:revision>2</cp:revision>
  <cp:lastPrinted>2024-05-17T12:25:00Z</cp:lastPrinted>
  <dcterms:created xsi:type="dcterms:W3CDTF">2024-09-26T02:03:00Z</dcterms:created>
  <dcterms:modified xsi:type="dcterms:W3CDTF">2024-09-26T02:03:00Z</dcterms:modified>
</cp:coreProperties>
</file>